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559" w:rsidRDefault="00AE5701" w:rsidP="00DD54C7">
      <w:pPr>
        <w:jc w:val="center"/>
        <w:rPr>
          <w:rFonts w:ascii="Times New Roman" w:hAnsi="Times New Roman" w:cs="Times New Roman"/>
          <w:sz w:val="24"/>
          <w:szCs w:val="24"/>
        </w:rPr>
      </w:pPr>
      <w:r w:rsidRPr="008F7772">
        <w:rPr>
          <w:rFonts w:ascii="Times New Roman" w:hAnsi="Times New Roman" w:cs="Times New Roman"/>
          <w:sz w:val="24"/>
          <w:szCs w:val="24"/>
        </w:rPr>
        <w:t>Amendment</w:t>
      </w:r>
      <w:r w:rsidR="00637C37">
        <w:rPr>
          <w:rFonts w:ascii="Times New Roman" w:hAnsi="Times New Roman" w:cs="Times New Roman"/>
          <w:sz w:val="24"/>
          <w:szCs w:val="24"/>
        </w:rPr>
        <w:t xml:space="preserve"> No. 5 </w:t>
      </w:r>
      <w:bookmarkStart w:id="0" w:name="_GoBack"/>
      <w:bookmarkEnd w:id="0"/>
      <w:r w:rsidRPr="008F7772">
        <w:rPr>
          <w:rFonts w:ascii="Times New Roman" w:hAnsi="Times New Roman" w:cs="Times New Roman"/>
          <w:sz w:val="24"/>
          <w:szCs w:val="24"/>
        </w:rPr>
        <w:t>to Bill 38-2015</w:t>
      </w:r>
    </w:p>
    <w:p w:rsidR="00D81DF2" w:rsidRDefault="00BA4926" w:rsidP="00DD54C7">
      <w:pPr>
        <w:jc w:val="center"/>
        <w:rPr>
          <w:rFonts w:ascii="Times New Roman" w:hAnsi="Times New Roman" w:cs="Times New Roman"/>
          <w:sz w:val="24"/>
          <w:szCs w:val="24"/>
        </w:rPr>
      </w:pPr>
      <w:r>
        <w:rPr>
          <w:rFonts w:ascii="Times New Roman" w:hAnsi="Times New Roman" w:cs="Times New Roman"/>
          <w:sz w:val="24"/>
          <w:szCs w:val="24"/>
        </w:rPr>
        <w:t>Office Mix Use District</w:t>
      </w:r>
    </w:p>
    <w:p w:rsidR="00BA4926" w:rsidRPr="00BA4926" w:rsidRDefault="00BA4926" w:rsidP="00BA4926">
      <w:pPr>
        <w:spacing w:after="0" w:line="240" w:lineRule="auto"/>
        <w:jc w:val="center"/>
        <w:rPr>
          <w:rFonts w:ascii="Times New Roman" w:eastAsia="Times New Roman" w:hAnsi="Times New Roman" w:cs="Times New Roman"/>
          <w:sz w:val="24"/>
          <w:szCs w:val="24"/>
        </w:rPr>
      </w:pPr>
      <w:r w:rsidRPr="00BA4926">
        <w:rPr>
          <w:rFonts w:ascii="Times New Roman" w:eastAsia="Times New Roman" w:hAnsi="Times New Roman" w:cs="Times New Roman"/>
          <w:sz w:val="24"/>
          <w:szCs w:val="24"/>
        </w:rPr>
        <w:t>AN ORDINANCE AMENDING THE ZONING ORDINANCE OF THE CITY OF BETHLEHEM, PENNSYLVANIA, AS AMENDED, BY DELETING THE CM-LTN LANDMARK CONSERVATION AND TRADITIONAL NEIGHBORHOOD OVERLAY DISTRICT AND REPLACING IT WITH AN OMU OFFICE MIXED USE DISTRICT; ADDING DEFINITIONS FOR FAST-CASUAL RESTAURANT, FAST-FOOD RESTAURANT AND FOR TASTING ROOM; SETTING THE PURPOSE OF THE OMU DISTRICT; AMENDING THE ZONING MAP TO CHANGE THE DESIGNATION OF VARIOUS PARCELS FROM THE CM-LTN ZONING DISTRICT TO THE OMU ZONING DISTRICT; MODIFYING THE ALLOWED USES IN PRIMARILY NON-RESIDENTIAL DISTRICTS; MODIFYING THE DIMENSIONAL REQUIREMENTS IN SOME DISTRICTS; MODIFYING DESIGN STANDARDS TO CREATE NEW REQUIREMENTS FOR THE OMU DISTRICT; AND CREATING ADDITIONAL REQUIREMENTS FOR THE OMU DISTRICT.</w:t>
      </w:r>
    </w:p>
    <w:p w:rsidR="00BA4926" w:rsidRPr="00BA4926" w:rsidRDefault="00BA4926" w:rsidP="00BA4926">
      <w:pPr>
        <w:spacing w:after="0" w:line="240" w:lineRule="auto"/>
        <w:jc w:val="center"/>
        <w:rPr>
          <w:rFonts w:ascii="Times New Roman" w:eastAsia="Times New Roman" w:hAnsi="Times New Roman" w:cs="Times New Roman"/>
          <w:sz w:val="24"/>
          <w:szCs w:val="24"/>
        </w:rPr>
      </w:pPr>
    </w:p>
    <w:p w:rsidR="00BA4926" w:rsidRPr="00BA4926" w:rsidRDefault="00BA4926" w:rsidP="00BA4926">
      <w:pPr>
        <w:spacing w:after="0" w:line="240" w:lineRule="auto"/>
        <w:ind w:left="1440"/>
        <w:rPr>
          <w:rFonts w:ascii="Times New Roman" w:eastAsia="Times New Roman" w:hAnsi="Times New Roman" w:cs="Times New Roman"/>
          <w:sz w:val="24"/>
          <w:szCs w:val="24"/>
        </w:rPr>
      </w:pPr>
    </w:p>
    <w:p w:rsidR="00BA4926" w:rsidRPr="00BA4926" w:rsidRDefault="00BA4926" w:rsidP="00BA4926">
      <w:pPr>
        <w:tabs>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0" w:line="240" w:lineRule="auto"/>
        <w:rPr>
          <w:rFonts w:ascii="Times New Roman" w:eastAsia="Times New Roman" w:hAnsi="Times New Roman" w:cs="Times New Roman"/>
          <w:sz w:val="24"/>
          <w:szCs w:val="24"/>
        </w:rPr>
      </w:pPr>
      <w:r w:rsidRPr="00BA4926">
        <w:rPr>
          <w:rFonts w:ascii="Times New Roman" w:eastAsia="Times New Roman" w:hAnsi="Times New Roman" w:cs="Times New Roman"/>
          <w:sz w:val="24"/>
          <w:szCs w:val="24"/>
        </w:rPr>
        <w:t>THE COUNCIL OF THE CITY OF BETHLEHEM HEREBY ORDAINS AS FOLLOWS:</w:t>
      </w:r>
    </w:p>
    <w:p w:rsidR="00BA4926" w:rsidRPr="00BA4926" w:rsidRDefault="00BA4926" w:rsidP="00BA4926">
      <w:pPr>
        <w:tabs>
          <w:tab w:val="left" w:pos="0"/>
          <w:tab w:val="left" w:pos="475"/>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spacing w:after="0" w:line="240" w:lineRule="auto"/>
        <w:rPr>
          <w:rFonts w:ascii="Times New Roman" w:eastAsia="Times New Roman" w:hAnsi="Times New Roman" w:cs="Times New Roman"/>
          <w:sz w:val="24"/>
          <w:szCs w:val="24"/>
        </w:rPr>
      </w:pPr>
    </w:p>
    <w:p w:rsidR="00BA4926" w:rsidRDefault="00BA4926" w:rsidP="00BA4926">
      <w:pPr>
        <w:spacing w:after="0" w:line="240" w:lineRule="auto"/>
        <w:ind w:left="1440"/>
        <w:rPr>
          <w:rFonts w:ascii="Times New Roman" w:eastAsia="Times New Roman" w:hAnsi="Times New Roman" w:cs="Times New Roman"/>
          <w:sz w:val="24"/>
          <w:szCs w:val="24"/>
        </w:rPr>
      </w:pPr>
    </w:p>
    <w:p w:rsidR="00732964" w:rsidRPr="00732964" w:rsidRDefault="00284991" w:rsidP="00732964">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rPr>
          <w:rFonts w:ascii="Times New Roman" w:eastAsia="Times New Roman" w:hAnsi="Times New Roman" w:cs="Times New Roman"/>
          <w:sz w:val="24"/>
          <w:szCs w:val="20"/>
        </w:rPr>
      </w:pPr>
      <w:r w:rsidRPr="00284991">
        <w:rPr>
          <w:rFonts w:ascii="Times New Roman" w:eastAsia="Times New Roman" w:hAnsi="Times New Roman" w:cs="Times New Roman"/>
          <w:sz w:val="24"/>
          <w:szCs w:val="20"/>
        </w:rPr>
        <w:t xml:space="preserve">       </w:t>
      </w:r>
      <w:proofErr w:type="gramStart"/>
      <w:r w:rsidR="00732964" w:rsidRPr="00732964">
        <w:rPr>
          <w:rFonts w:ascii="Times New Roman" w:eastAsia="Times New Roman" w:hAnsi="Times New Roman" w:cs="Times New Roman"/>
          <w:sz w:val="24"/>
          <w:szCs w:val="20"/>
        </w:rPr>
        <w:t>SECTION 14.</w:t>
      </w:r>
      <w:proofErr w:type="gramEnd"/>
      <w:r w:rsidR="00732964" w:rsidRPr="00732964">
        <w:rPr>
          <w:rFonts w:ascii="Times New Roman" w:eastAsia="Times New Roman" w:hAnsi="Times New Roman" w:cs="Times New Roman"/>
          <w:sz w:val="24"/>
          <w:szCs w:val="20"/>
        </w:rPr>
        <w:t xml:space="preserve">  That Article 1314, ADDITIONAL REQUIREMENTS FOR THE OMU DISTRICT, Section 1314.02(c), of the Zoning Ordinance, as amended, which reads as follows:</w:t>
      </w:r>
    </w:p>
    <w:p w:rsidR="00732964" w:rsidRPr="00732964" w:rsidRDefault="00732964" w:rsidP="00732964">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spacing w:after="0" w:line="240" w:lineRule="auto"/>
        <w:rPr>
          <w:rFonts w:ascii="Times New Roman" w:eastAsia="Times New Roman" w:hAnsi="Times New Roman" w:cs="Times New Roman"/>
          <w:sz w:val="24"/>
          <w:szCs w:val="20"/>
        </w:rPr>
      </w:pPr>
    </w:p>
    <w:p w:rsidR="00732964" w:rsidRPr="00732964" w:rsidRDefault="00732964" w:rsidP="00732964">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spacing w:after="0" w:line="240" w:lineRule="auto"/>
        <w:ind w:left="1420" w:hanging="945"/>
        <w:rPr>
          <w:rFonts w:ascii="Times New Roman" w:eastAsia="Times New Roman" w:hAnsi="Times New Roman" w:cs="Times New Roman"/>
          <w:sz w:val="24"/>
          <w:szCs w:val="24"/>
        </w:rPr>
      </w:pPr>
      <w:r w:rsidRPr="00732964">
        <w:rPr>
          <w:rFonts w:ascii="Times New Roman" w:eastAsia="Times New Roman" w:hAnsi="Times New Roman" w:cs="Times New Roman"/>
          <w:sz w:val="24"/>
          <w:szCs w:val="24"/>
        </w:rPr>
        <w:tab/>
        <w:t>(c)</w:t>
      </w:r>
      <w:r w:rsidRPr="00732964">
        <w:rPr>
          <w:rFonts w:ascii="Times New Roman" w:eastAsia="Times New Roman" w:hAnsi="Times New Roman" w:cs="Times New Roman"/>
          <w:sz w:val="24"/>
          <w:szCs w:val="24"/>
        </w:rPr>
        <w:tab/>
      </w:r>
      <w:r w:rsidRPr="00732964">
        <w:rPr>
          <w:rFonts w:ascii="Times New Roman" w:eastAsia="Times New Roman" w:hAnsi="Times New Roman" w:cs="Times New Roman"/>
          <w:strike/>
          <w:sz w:val="24"/>
          <w:szCs w:val="24"/>
        </w:rPr>
        <w:t>A maximum 300,000 square feet of new building footprint is permitted to be of one (1) habitable story design</w:t>
      </w:r>
      <w:r w:rsidRPr="00732964">
        <w:rPr>
          <w:rFonts w:ascii="Times New Roman" w:eastAsia="Times New Roman" w:hAnsi="Times New Roman" w:cs="Times New Roman"/>
          <w:sz w:val="24"/>
          <w:szCs w:val="24"/>
        </w:rPr>
        <w:t xml:space="preserve">.  </w:t>
      </w:r>
    </w:p>
    <w:p w:rsidR="00732964" w:rsidRPr="00732964" w:rsidRDefault="00732964" w:rsidP="00732964">
      <w:pPr>
        <w:spacing w:after="0" w:line="240" w:lineRule="auto"/>
        <w:rPr>
          <w:rFonts w:ascii="Times New Roman" w:eastAsia="Times New Roman" w:hAnsi="Times New Roman" w:cs="Times New Roman"/>
          <w:sz w:val="24"/>
          <w:szCs w:val="24"/>
        </w:rPr>
      </w:pPr>
    </w:p>
    <w:p w:rsidR="00732964" w:rsidRPr="00732964" w:rsidRDefault="00732964" w:rsidP="00732964">
      <w:pPr>
        <w:spacing w:after="0" w:line="240" w:lineRule="auto"/>
        <w:ind w:firstLine="720"/>
        <w:rPr>
          <w:rFonts w:ascii="Times New Roman" w:eastAsia="Times New Roman" w:hAnsi="Times New Roman" w:cs="Times New Roman"/>
          <w:sz w:val="24"/>
          <w:szCs w:val="24"/>
        </w:rPr>
      </w:pPr>
      <w:r w:rsidRPr="00732964">
        <w:rPr>
          <w:rFonts w:ascii="Times New Roman" w:eastAsia="Times New Roman" w:hAnsi="Times New Roman" w:cs="Times New Roman"/>
          <w:sz w:val="24"/>
          <w:szCs w:val="24"/>
        </w:rPr>
        <w:t xml:space="preserve">Shall be amended to read as follows: </w:t>
      </w:r>
    </w:p>
    <w:p w:rsidR="00732964" w:rsidRPr="00732964" w:rsidRDefault="00732964" w:rsidP="00732964">
      <w:pPr>
        <w:spacing w:after="0" w:line="240" w:lineRule="auto"/>
        <w:rPr>
          <w:rFonts w:ascii="Times New Roman" w:eastAsia="Times New Roman" w:hAnsi="Times New Roman" w:cs="Times New Roman"/>
          <w:sz w:val="24"/>
          <w:szCs w:val="24"/>
        </w:rPr>
      </w:pPr>
    </w:p>
    <w:p w:rsidR="00732964" w:rsidRPr="00732964" w:rsidRDefault="00732964" w:rsidP="00732964">
      <w:pPr>
        <w:spacing w:after="0" w:line="240" w:lineRule="auto"/>
        <w:ind w:left="990"/>
        <w:rPr>
          <w:rFonts w:ascii="Times New Roman" w:eastAsia="Times New Roman" w:hAnsi="Times New Roman" w:cs="Times New Roman"/>
          <w:b/>
          <w:sz w:val="24"/>
          <w:szCs w:val="24"/>
        </w:rPr>
      </w:pPr>
      <w:r w:rsidRPr="00732964">
        <w:rPr>
          <w:rFonts w:ascii="Times New Roman" w:eastAsia="Times New Roman" w:hAnsi="Times New Roman" w:cs="Times New Roman"/>
          <w:b/>
          <w:sz w:val="24"/>
          <w:szCs w:val="24"/>
        </w:rPr>
        <w:t xml:space="preserve">(c)  The following regulations shall apply for all   </w:t>
      </w:r>
    </w:p>
    <w:p w:rsidR="00732964" w:rsidRPr="00732964" w:rsidRDefault="00732964" w:rsidP="00732964">
      <w:pPr>
        <w:spacing w:after="0" w:line="240" w:lineRule="auto"/>
        <w:ind w:left="990"/>
        <w:rPr>
          <w:rFonts w:ascii="Times New Roman" w:eastAsia="Times New Roman" w:hAnsi="Times New Roman" w:cs="Times New Roman"/>
          <w:b/>
          <w:sz w:val="24"/>
          <w:szCs w:val="24"/>
        </w:rPr>
      </w:pPr>
      <w:r w:rsidRPr="00732964">
        <w:rPr>
          <w:rFonts w:ascii="Times New Roman" w:eastAsia="Times New Roman" w:hAnsi="Times New Roman" w:cs="Times New Roman"/>
          <w:b/>
          <w:sz w:val="24"/>
          <w:szCs w:val="24"/>
        </w:rPr>
        <w:tab/>
      </w:r>
      <w:proofErr w:type="gramStart"/>
      <w:r w:rsidRPr="00732964">
        <w:rPr>
          <w:rFonts w:ascii="Times New Roman" w:eastAsia="Times New Roman" w:hAnsi="Times New Roman" w:cs="Times New Roman"/>
          <w:b/>
          <w:sz w:val="24"/>
          <w:szCs w:val="24"/>
        </w:rPr>
        <w:t>retail/restaurant/entertainment</w:t>
      </w:r>
      <w:proofErr w:type="gramEnd"/>
      <w:r w:rsidRPr="00732964">
        <w:rPr>
          <w:rFonts w:ascii="Times New Roman" w:eastAsia="Times New Roman" w:hAnsi="Times New Roman" w:cs="Times New Roman"/>
          <w:b/>
          <w:sz w:val="24"/>
          <w:szCs w:val="24"/>
        </w:rPr>
        <w:t xml:space="preserve"> uses in new buildings:</w:t>
      </w:r>
    </w:p>
    <w:p w:rsidR="00732964" w:rsidRPr="00732964" w:rsidRDefault="00732964" w:rsidP="00732964">
      <w:pPr>
        <w:spacing w:after="0" w:line="240" w:lineRule="auto"/>
        <w:ind w:left="720" w:firstLine="720"/>
        <w:rPr>
          <w:rFonts w:ascii="Times New Roman" w:eastAsia="Times New Roman" w:hAnsi="Times New Roman" w:cs="Times New Roman"/>
          <w:b/>
          <w:sz w:val="24"/>
          <w:szCs w:val="24"/>
        </w:rPr>
      </w:pPr>
    </w:p>
    <w:p w:rsidR="00732964" w:rsidRPr="00732964" w:rsidRDefault="00732964" w:rsidP="00732964">
      <w:pPr>
        <w:numPr>
          <w:ilvl w:val="0"/>
          <w:numId w:val="5"/>
        </w:numPr>
        <w:spacing w:after="0" w:line="240" w:lineRule="auto"/>
        <w:contextualSpacing/>
        <w:rPr>
          <w:rFonts w:ascii="Times New Roman" w:eastAsia="Times New Roman" w:hAnsi="Times New Roman" w:cs="Times New Roman"/>
          <w:b/>
          <w:sz w:val="24"/>
          <w:szCs w:val="24"/>
        </w:rPr>
      </w:pPr>
      <w:r w:rsidRPr="00732964">
        <w:rPr>
          <w:rFonts w:ascii="Times New Roman" w:eastAsia="Times New Roman" w:hAnsi="Times New Roman" w:cs="Times New Roman"/>
          <w:b/>
          <w:sz w:val="24"/>
          <w:szCs w:val="24"/>
        </w:rPr>
        <w:t>A maximum of 380,000 square feet of new building footprint is permitted for all primary retail/restaurant/entertainment uses.</w:t>
      </w:r>
    </w:p>
    <w:p w:rsidR="00732964" w:rsidRPr="00732964" w:rsidRDefault="00732964" w:rsidP="00732964">
      <w:pPr>
        <w:numPr>
          <w:ilvl w:val="0"/>
          <w:numId w:val="5"/>
        </w:numPr>
        <w:spacing w:after="0" w:line="240" w:lineRule="auto"/>
        <w:contextualSpacing/>
        <w:rPr>
          <w:rFonts w:ascii="Times New Roman" w:eastAsia="Times New Roman" w:hAnsi="Times New Roman" w:cs="Times New Roman"/>
          <w:b/>
          <w:sz w:val="24"/>
          <w:szCs w:val="24"/>
        </w:rPr>
      </w:pPr>
      <w:r w:rsidRPr="00732964">
        <w:rPr>
          <w:rFonts w:ascii="Times New Roman" w:eastAsia="Times New Roman" w:hAnsi="Times New Roman" w:cs="Times New Roman"/>
          <w:b/>
          <w:sz w:val="24"/>
          <w:szCs w:val="24"/>
        </w:rPr>
        <w:t>“Small-tenant” retail/restaurant/entertainment uses, or any such establishments with a tenant footprint of 3,000 square feet or less, shall not exceed 30,000 square feet of the total square footage of all primary retail/restaurant/entertainment uses.</w:t>
      </w:r>
    </w:p>
    <w:p w:rsidR="00732964" w:rsidRPr="00732964" w:rsidRDefault="00732964" w:rsidP="00732964">
      <w:pPr>
        <w:numPr>
          <w:ilvl w:val="0"/>
          <w:numId w:val="5"/>
        </w:numPr>
        <w:spacing w:after="0" w:line="240" w:lineRule="auto"/>
        <w:contextualSpacing/>
        <w:rPr>
          <w:rFonts w:ascii="Times New Roman" w:eastAsia="Times New Roman" w:hAnsi="Times New Roman" w:cs="Times New Roman"/>
          <w:b/>
          <w:sz w:val="24"/>
          <w:szCs w:val="24"/>
        </w:rPr>
      </w:pPr>
      <w:r w:rsidRPr="00732964">
        <w:rPr>
          <w:rFonts w:ascii="Times New Roman" w:eastAsia="Times New Roman" w:hAnsi="Times New Roman" w:cs="Times New Roman"/>
          <w:b/>
          <w:sz w:val="24"/>
          <w:szCs w:val="24"/>
        </w:rPr>
        <w:t xml:space="preserve">“Medium-tenant” retail/restaurant/entertainment uses consisting of a tenant footprint between 3,001 square feet and 8,000 square feet shall not exceed </w:t>
      </w:r>
      <w:r w:rsidR="00D6611E">
        <w:rPr>
          <w:rFonts w:ascii="Times New Roman" w:eastAsia="Times New Roman" w:hAnsi="Times New Roman" w:cs="Times New Roman"/>
          <w:b/>
          <w:sz w:val="24"/>
          <w:szCs w:val="24"/>
        </w:rPr>
        <w:t>35</w:t>
      </w:r>
      <w:r w:rsidRPr="00732964">
        <w:rPr>
          <w:rFonts w:ascii="Times New Roman" w:eastAsia="Times New Roman" w:hAnsi="Times New Roman" w:cs="Times New Roman"/>
          <w:b/>
          <w:sz w:val="24"/>
          <w:szCs w:val="24"/>
        </w:rPr>
        <w:t>,000 square feet of the total square footage of all primary retail/restaurant/entertainment uses.</w:t>
      </w:r>
    </w:p>
    <w:p w:rsidR="00732964" w:rsidRPr="00732964" w:rsidRDefault="00732964" w:rsidP="00732964">
      <w:pPr>
        <w:numPr>
          <w:ilvl w:val="0"/>
          <w:numId w:val="5"/>
        </w:numPr>
        <w:spacing w:after="0" w:line="240" w:lineRule="auto"/>
        <w:contextualSpacing/>
        <w:rPr>
          <w:rFonts w:ascii="Times New Roman" w:eastAsia="Times New Roman" w:hAnsi="Times New Roman" w:cs="Times New Roman"/>
          <w:b/>
          <w:sz w:val="24"/>
          <w:szCs w:val="24"/>
        </w:rPr>
      </w:pPr>
      <w:r w:rsidRPr="00732964">
        <w:rPr>
          <w:rFonts w:ascii="Times New Roman" w:eastAsia="Times New Roman" w:hAnsi="Times New Roman" w:cs="Times New Roman"/>
          <w:b/>
          <w:sz w:val="24"/>
          <w:szCs w:val="24"/>
        </w:rPr>
        <w:t xml:space="preserve">Retail, restaurant and other personal service uses shall be allowed as accessory uses in an office, medical office or residential building or complex provided they are accessory to the primary use and are </w:t>
      </w:r>
      <w:r w:rsidRPr="00732964">
        <w:rPr>
          <w:rFonts w:ascii="Times New Roman" w:eastAsia="Times New Roman" w:hAnsi="Times New Roman" w:cs="Times New Roman"/>
          <w:b/>
          <w:sz w:val="24"/>
          <w:szCs w:val="24"/>
        </w:rPr>
        <w:lastRenderedPageBreak/>
        <w:t>primarily designed to serve the users of that building or complex.  Such tenants shall not be included in the calculation of maximum square feet of new building footprint for retail/restaurant/entertainment as noted above in 1314.02(c</w:t>
      </w:r>
      <w:proofErr w:type="gramStart"/>
      <w:r w:rsidRPr="00732964">
        <w:rPr>
          <w:rFonts w:ascii="Times New Roman" w:eastAsia="Times New Roman" w:hAnsi="Times New Roman" w:cs="Times New Roman"/>
          <w:b/>
          <w:sz w:val="24"/>
          <w:szCs w:val="24"/>
        </w:rPr>
        <w:t>)(</w:t>
      </w:r>
      <w:proofErr w:type="gramEnd"/>
      <w:r w:rsidRPr="00732964">
        <w:rPr>
          <w:rFonts w:ascii="Times New Roman" w:eastAsia="Times New Roman" w:hAnsi="Times New Roman" w:cs="Times New Roman"/>
          <w:b/>
          <w:sz w:val="24"/>
          <w:szCs w:val="24"/>
        </w:rPr>
        <w:t xml:space="preserve">1).  </w:t>
      </w:r>
    </w:p>
    <w:p w:rsidR="00732964" w:rsidRPr="00732964" w:rsidRDefault="00732964" w:rsidP="00732964">
      <w:pPr>
        <w:spacing w:after="0" w:line="240" w:lineRule="auto"/>
        <w:ind w:left="1800"/>
        <w:rPr>
          <w:rFonts w:ascii="Times New Roman" w:eastAsia="Times New Roman" w:hAnsi="Times New Roman" w:cs="Times New Roman"/>
          <w:sz w:val="24"/>
          <w:szCs w:val="24"/>
        </w:rPr>
      </w:pPr>
    </w:p>
    <w:p w:rsidR="00732964" w:rsidRPr="00732964" w:rsidRDefault="00732964" w:rsidP="00732964">
      <w:pPr>
        <w:spacing w:after="0" w:line="240" w:lineRule="auto"/>
        <w:ind w:left="1800"/>
        <w:rPr>
          <w:rFonts w:ascii="Times New Roman" w:eastAsia="Times New Roman" w:hAnsi="Times New Roman" w:cs="Times New Roman"/>
          <w:sz w:val="24"/>
          <w:szCs w:val="24"/>
        </w:rPr>
      </w:pPr>
    </w:p>
    <w:p w:rsidR="00B41EF6" w:rsidRDefault="00B41EF6" w:rsidP="00B41EF6">
      <w:pPr>
        <w:spacing w:after="0" w:line="240" w:lineRule="auto"/>
        <w:ind w:left="50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Sponsored by</w:t>
      </w:r>
      <w:r>
        <w:rPr>
          <w:rFonts w:ascii="Times New Roman" w:eastAsia="Times New Roman" w:hAnsi="Times New Roman" w:cs="Times New Roman"/>
          <w:sz w:val="24"/>
          <w:szCs w:val="24"/>
        </w:rPr>
        <w:tab/>
        <w:t>Eric R. Evans</w:t>
      </w:r>
      <w:r>
        <w:rPr>
          <w:rFonts w:ascii="Times New Roman" w:eastAsia="Times New Roman" w:hAnsi="Times New Roman" w:cs="Times New Roman"/>
          <w:sz w:val="24"/>
          <w:szCs w:val="24"/>
        </w:rPr>
        <w:tab/>
        <w:t xml:space="preserve"> </w:t>
      </w:r>
    </w:p>
    <w:p w:rsidR="00B41EF6" w:rsidRDefault="00B41EF6" w:rsidP="00B41EF6">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DE0735" w:rsidRPr="00DE0735" w:rsidRDefault="00B41EF6" w:rsidP="00B41EF6">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rPr>
          <w:rFonts w:ascii="Times New Roman" w:eastAsia="Times New Roman" w:hAnsi="Times New Roman" w:cs="Times New Roman"/>
          <w:strike/>
          <w:sz w:val="24"/>
          <w:szCs w:val="20"/>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Adam R. Waldron</w:t>
      </w:r>
      <w:r>
        <w:rPr>
          <w:rFonts w:ascii="Times New Roman" w:eastAsia="Times New Roman" w:hAnsi="Times New Roman" w:cs="Times New Roman"/>
          <w:sz w:val="24"/>
          <w:szCs w:val="24"/>
        </w:rPr>
        <w:tab/>
      </w:r>
    </w:p>
    <w:p w:rsidR="00284991" w:rsidRPr="00284991" w:rsidRDefault="00284991" w:rsidP="00DE0735">
      <w:pPr>
        <w:widowControl w:val="0"/>
        <w:tabs>
          <w:tab w:val="left" w:pos="-720"/>
        </w:tabs>
        <w:suppressAutoHyphens/>
        <w:autoSpaceDE w:val="0"/>
        <w:autoSpaceDN w:val="0"/>
        <w:adjustRightInd w:val="0"/>
        <w:spacing w:after="0" w:line="240" w:lineRule="atLeast"/>
        <w:rPr>
          <w:rFonts w:ascii="Times New Roman" w:eastAsia="Times New Roman" w:hAnsi="Times New Roman" w:cs="Times New Roman"/>
          <w:sz w:val="24"/>
          <w:szCs w:val="20"/>
        </w:rPr>
      </w:pPr>
    </w:p>
    <w:p w:rsidR="00570916" w:rsidRDefault="00570916" w:rsidP="00570916">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spacing w:after="0" w:line="240" w:lineRule="auto"/>
        <w:rPr>
          <w:rFonts w:ascii="Times New Roman" w:eastAsia="Times New Roman" w:hAnsi="Times New Roman" w:cs="Times New Roman"/>
          <w:sz w:val="24"/>
          <w:szCs w:val="20"/>
        </w:rPr>
      </w:pPr>
    </w:p>
    <w:p w:rsidR="00570916" w:rsidRDefault="00570916" w:rsidP="00570916">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spacing w:after="0" w:line="240" w:lineRule="auto"/>
        <w:rPr>
          <w:rFonts w:ascii="Times New Roman" w:eastAsia="Times New Roman" w:hAnsi="Times New Roman" w:cs="Times New Roman"/>
          <w:sz w:val="24"/>
          <w:szCs w:val="20"/>
        </w:rPr>
      </w:pPr>
    </w:p>
    <w:p w:rsidR="00570916" w:rsidRPr="00570916" w:rsidRDefault="00570916" w:rsidP="00570916">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spacing w:after="0" w:line="240" w:lineRule="auto"/>
        <w:rPr>
          <w:rFonts w:ascii="Times New Roman" w:eastAsia="Times New Roman" w:hAnsi="Times New Roman" w:cs="Times New Roman"/>
          <w:sz w:val="24"/>
          <w:szCs w:val="20"/>
        </w:rPr>
      </w:pPr>
    </w:p>
    <w:p w:rsidR="00BA4926" w:rsidRDefault="00BA4926" w:rsidP="00BA4926">
      <w:pPr>
        <w:spacing w:after="0" w:line="240" w:lineRule="auto"/>
        <w:ind w:left="1440"/>
        <w:rPr>
          <w:rFonts w:ascii="Times New Roman" w:eastAsia="Times New Roman" w:hAnsi="Times New Roman" w:cs="Times New Roman"/>
          <w:sz w:val="24"/>
          <w:szCs w:val="24"/>
        </w:rPr>
      </w:pPr>
    </w:p>
    <w:p w:rsidR="00BA4926" w:rsidRPr="00BA4926" w:rsidRDefault="00BA4926" w:rsidP="00732964">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DD54C7" w:rsidRDefault="00DD54C7" w:rsidP="00DD54C7">
      <w:pPr>
        <w:jc w:val="center"/>
        <w:rPr>
          <w:rFonts w:ascii="Times New Roman" w:hAnsi="Times New Roman" w:cs="Times New Roman"/>
          <w:sz w:val="24"/>
          <w:szCs w:val="24"/>
        </w:rPr>
      </w:pPr>
    </w:p>
    <w:sectPr w:rsidR="00DD54C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4C7" w:rsidRDefault="00DD54C7" w:rsidP="00DD54C7">
      <w:pPr>
        <w:spacing w:after="0" w:line="240" w:lineRule="auto"/>
      </w:pPr>
      <w:r>
        <w:separator/>
      </w:r>
    </w:p>
  </w:endnote>
  <w:endnote w:type="continuationSeparator" w:id="0">
    <w:p w:rsidR="00DD54C7" w:rsidRDefault="00DD54C7" w:rsidP="00DD5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2033486"/>
      <w:docPartObj>
        <w:docPartGallery w:val="Page Numbers (Bottom of Page)"/>
        <w:docPartUnique/>
      </w:docPartObj>
    </w:sdtPr>
    <w:sdtEndPr>
      <w:rPr>
        <w:noProof/>
      </w:rPr>
    </w:sdtEndPr>
    <w:sdtContent>
      <w:p w:rsidR="00DD54C7" w:rsidRDefault="00DD54C7">
        <w:pPr>
          <w:pStyle w:val="Footer"/>
          <w:jc w:val="right"/>
        </w:pPr>
        <w:r>
          <w:fldChar w:fldCharType="begin"/>
        </w:r>
        <w:r>
          <w:instrText xml:space="preserve"> PAGE   \* MERGEFORMAT </w:instrText>
        </w:r>
        <w:r>
          <w:fldChar w:fldCharType="separate"/>
        </w:r>
        <w:r w:rsidR="00E36662">
          <w:rPr>
            <w:noProof/>
          </w:rPr>
          <w:t>1</w:t>
        </w:r>
        <w:r>
          <w:rPr>
            <w:noProof/>
          </w:rPr>
          <w:fldChar w:fldCharType="end"/>
        </w:r>
      </w:p>
    </w:sdtContent>
  </w:sdt>
  <w:p w:rsidR="00DD54C7" w:rsidRDefault="00DD54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4C7" w:rsidRDefault="00DD54C7" w:rsidP="00DD54C7">
      <w:pPr>
        <w:spacing w:after="0" w:line="240" w:lineRule="auto"/>
      </w:pPr>
      <w:r>
        <w:separator/>
      </w:r>
    </w:p>
  </w:footnote>
  <w:footnote w:type="continuationSeparator" w:id="0">
    <w:p w:rsidR="00DD54C7" w:rsidRDefault="00DD54C7" w:rsidP="00DD54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F62B7"/>
    <w:multiLevelType w:val="hybridMultilevel"/>
    <w:tmpl w:val="07B4F9F0"/>
    <w:lvl w:ilvl="0" w:tplc="1D2C98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420A2CF9"/>
    <w:multiLevelType w:val="hybridMultilevel"/>
    <w:tmpl w:val="085637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1E270E"/>
    <w:multiLevelType w:val="hybridMultilevel"/>
    <w:tmpl w:val="F7622DD6"/>
    <w:lvl w:ilvl="0" w:tplc="F9E8D92A">
      <w:start w:val="1"/>
      <w:numFmt w:val="lowerLetter"/>
      <w:lvlText w:val="(%1)"/>
      <w:lvlJc w:val="left"/>
      <w:pPr>
        <w:ind w:left="1310" w:hanging="360"/>
      </w:pPr>
      <w:rPr>
        <w:rFonts w:hint="default"/>
        <w:strike w:val="0"/>
      </w:rPr>
    </w:lvl>
    <w:lvl w:ilvl="1" w:tplc="04090019" w:tentative="1">
      <w:start w:val="1"/>
      <w:numFmt w:val="lowerLetter"/>
      <w:lvlText w:val="%2."/>
      <w:lvlJc w:val="left"/>
      <w:pPr>
        <w:ind w:left="2030" w:hanging="360"/>
      </w:pPr>
    </w:lvl>
    <w:lvl w:ilvl="2" w:tplc="0409001B" w:tentative="1">
      <w:start w:val="1"/>
      <w:numFmt w:val="lowerRoman"/>
      <w:lvlText w:val="%3."/>
      <w:lvlJc w:val="right"/>
      <w:pPr>
        <w:ind w:left="2750" w:hanging="180"/>
      </w:pPr>
    </w:lvl>
    <w:lvl w:ilvl="3" w:tplc="0409000F" w:tentative="1">
      <w:start w:val="1"/>
      <w:numFmt w:val="decimal"/>
      <w:lvlText w:val="%4."/>
      <w:lvlJc w:val="left"/>
      <w:pPr>
        <w:ind w:left="3470" w:hanging="360"/>
      </w:pPr>
    </w:lvl>
    <w:lvl w:ilvl="4" w:tplc="04090019" w:tentative="1">
      <w:start w:val="1"/>
      <w:numFmt w:val="lowerLetter"/>
      <w:lvlText w:val="%5."/>
      <w:lvlJc w:val="left"/>
      <w:pPr>
        <w:ind w:left="4190" w:hanging="360"/>
      </w:pPr>
    </w:lvl>
    <w:lvl w:ilvl="5" w:tplc="0409001B" w:tentative="1">
      <w:start w:val="1"/>
      <w:numFmt w:val="lowerRoman"/>
      <w:lvlText w:val="%6."/>
      <w:lvlJc w:val="right"/>
      <w:pPr>
        <w:ind w:left="4910" w:hanging="180"/>
      </w:pPr>
    </w:lvl>
    <w:lvl w:ilvl="6" w:tplc="0409000F" w:tentative="1">
      <w:start w:val="1"/>
      <w:numFmt w:val="decimal"/>
      <w:lvlText w:val="%7."/>
      <w:lvlJc w:val="left"/>
      <w:pPr>
        <w:ind w:left="5630" w:hanging="360"/>
      </w:pPr>
    </w:lvl>
    <w:lvl w:ilvl="7" w:tplc="04090019" w:tentative="1">
      <w:start w:val="1"/>
      <w:numFmt w:val="lowerLetter"/>
      <w:lvlText w:val="%8."/>
      <w:lvlJc w:val="left"/>
      <w:pPr>
        <w:ind w:left="6350" w:hanging="360"/>
      </w:pPr>
    </w:lvl>
    <w:lvl w:ilvl="8" w:tplc="0409001B" w:tentative="1">
      <w:start w:val="1"/>
      <w:numFmt w:val="lowerRoman"/>
      <w:lvlText w:val="%9."/>
      <w:lvlJc w:val="right"/>
      <w:pPr>
        <w:ind w:left="7070" w:hanging="180"/>
      </w:pPr>
    </w:lvl>
  </w:abstractNum>
  <w:abstractNum w:abstractNumId="3">
    <w:nsid w:val="4A9C113A"/>
    <w:multiLevelType w:val="hybridMultilevel"/>
    <w:tmpl w:val="59A22E60"/>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371443"/>
    <w:multiLevelType w:val="hybridMultilevel"/>
    <w:tmpl w:val="51521E3A"/>
    <w:lvl w:ilvl="0" w:tplc="E12E4B10">
      <w:start w:val="1"/>
      <w:numFmt w:val="lowerLetter"/>
      <w:lvlText w:val="(%1)"/>
      <w:lvlJc w:val="left"/>
      <w:pPr>
        <w:ind w:left="1310" w:hanging="360"/>
      </w:pPr>
      <w:rPr>
        <w:rFonts w:hint="default"/>
        <w:strike w:val="0"/>
      </w:rPr>
    </w:lvl>
    <w:lvl w:ilvl="1" w:tplc="04090019" w:tentative="1">
      <w:start w:val="1"/>
      <w:numFmt w:val="lowerLetter"/>
      <w:lvlText w:val="%2."/>
      <w:lvlJc w:val="left"/>
      <w:pPr>
        <w:ind w:left="2030" w:hanging="360"/>
      </w:pPr>
    </w:lvl>
    <w:lvl w:ilvl="2" w:tplc="0409001B" w:tentative="1">
      <w:start w:val="1"/>
      <w:numFmt w:val="lowerRoman"/>
      <w:lvlText w:val="%3."/>
      <w:lvlJc w:val="right"/>
      <w:pPr>
        <w:ind w:left="2750" w:hanging="180"/>
      </w:pPr>
    </w:lvl>
    <w:lvl w:ilvl="3" w:tplc="0409000F" w:tentative="1">
      <w:start w:val="1"/>
      <w:numFmt w:val="decimal"/>
      <w:lvlText w:val="%4."/>
      <w:lvlJc w:val="left"/>
      <w:pPr>
        <w:ind w:left="3470" w:hanging="360"/>
      </w:pPr>
    </w:lvl>
    <w:lvl w:ilvl="4" w:tplc="04090019" w:tentative="1">
      <w:start w:val="1"/>
      <w:numFmt w:val="lowerLetter"/>
      <w:lvlText w:val="%5."/>
      <w:lvlJc w:val="left"/>
      <w:pPr>
        <w:ind w:left="4190" w:hanging="360"/>
      </w:pPr>
    </w:lvl>
    <w:lvl w:ilvl="5" w:tplc="0409001B" w:tentative="1">
      <w:start w:val="1"/>
      <w:numFmt w:val="lowerRoman"/>
      <w:lvlText w:val="%6."/>
      <w:lvlJc w:val="right"/>
      <w:pPr>
        <w:ind w:left="4910" w:hanging="180"/>
      </w:pPr>
    </w:lvl>
    <w:lvl w:ilvl="6" w:tplc="0409000F" w:tentative="1">
      <w:start w:val="1"/>
      <w:numFmt w:val="decimal"/>
      <w:lvlText w:val="%7."/>
      <w:lvlJc w:val="left"/>
      <w:pPr>
        <w:ind w:left="5630" w:hanging="360"/>
      </w:pPr>
    </w:lvl>
    <w:lvl w:ilvl="7" w:tplc="04090019" w:tentative="1">
      <w:start w:val="1"/>
      <w:numFmt w:val="lowerLetter"/>
      <w:lvlText w:val="%8."/>
      <w:lvlJc w:val="left"/>
      <w:pPr>
        <w:ind w:left="6350" w:hanging="360"/>
      </w:pPr>
    </w:lvl>
    <w:lvl w:ilvl="8" w:tplc="0409001B" w:tentative="1">
      <w:start w:val="1"/>
      <w:numFmt w:val="lowerRoman"/>
      <w:lvlText w:val="%9."/>
      <w:lvlJc w:val="right"/>
      <w:pPr>
        <w:ind w:left="707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701"/>
    <w:rsid w:val="00133559"/>
    <w:rsid w:val="00153080"/>
    <w:rsid w:val="001E4D12"/>
    <w:rsid w:val="00284991"/>
    <w:rsid w:val="00336171"/>
    <w:rsid w:val="00415777"/>
    <w:rsid w:val="00570916"/>
    <w:rsid w:val="00637C37"/>
    <w:rsid w:val="00720FE5"/>
    <w:rsid w:val="00732964"/>
    <w:rsid w:val="008F7772"/>
    <w:rsid w:val="0093024D"/>
    <w:rsid w:val="00A41B87"/>
    <w:rsid w:val="00AE5701"/>
    <w:rsid w:val="00B41EF6"/>
    <w:rsid w:val="00B50A08"/>
    <w:rsid w:val="00BA4926"/>
    <w:rsid w:val="00C67A06"/>
    <w:rsid w:val="00C931E4"/>
    <w:rsid w:val="00D6611E"/>
    <w:rsid w:val="00D81DF2"/>
    <w:rsid w:val="00DD54C7"/>
    <w:rsid w:val="00DE0735"/>
    <w:rsid w:val="00E36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4C7"/>
    <w:pPr>
      <w:ind w:left="720"/>
      <w:contextualSpacing/>
    </w:pPr>
  </w:style>
  <w:style w:type="paragraph" w:styleId="Header">
    <w:name w:val="header"/>
    <w:basedOn w:val="Normal"/>
    <w:link w:val="HeaderChar"/>
    <w:uiPriority w:val="99"/>
    <w:unhideWhenUsed/>
    <w:rsid w:val="00DD54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54C7"/>
  </w:style>
  <w:style w:type="paragraph" w:styleId="Footer">
    <w:name w:val="footer"/>
    <w:basedOn w:val="Normal"/>
    <w:link w:val="FooterChar"/>
    <w:uiPriority w:val="99"/>
    <w:unhideWhenUsed/>
    <w:rsid w:val="00DD54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54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4C7"/>
    <w:pPr>
      <w:ind w:left="720"/>
      <w:contextualSpacing/>
    </w:pPr>
  </w:style>
  <w:style w:type="paragraph" w:styleId="Header">
    <w:name w:val="header"/>
    <w:basedOn w:val="Normal"/>
    <w:link w:val="HeaderChar"/>
    <w:uiPriority w:val="99"/>
    <w:unhideWhenUsed/>
    <w:rsid w:val="00DD54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54C7"/>
  </w:style>
  <w:style w:type="paragraph" w:styleId="Footer">
    <w:name w:val="footer"/>
    <w:basedOn w:val="Normal"/>
    <w:link w:val="FooterChar"/>
    <w:uiPriority w:val="99"/>
    <w:unhideWhenUsed/>
    <w:rsid w:val="00DD54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54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08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City of Bethlehem</Company>
  <LinksUpToDate>false</LinksUpToDate>
  <CharactersWithSpaces>2474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Kelchner, Louise</dc:creator>
  <cp:lastModifiedBy>Kelchner, Louise</cp:lastModifiedBy>
  <cp:revision>2</cp:revision>
  <cp:lastPrinted>2015-12-03T13:53:00Z</cp:lastPrinted>
  <dcterms:created xsi:type="dcterms:W3CDTF">2015-12-10T14:48:00Z</dcterms:created>
  <dcterms:modified xsi:type="dcterms:W3CDTF">2015-12-10T14:48:00Z</dcterms:modified>
</cp:coreProperties>
</file>